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Quarantine Checklist</w:t>
      </w:r>
    </w:p>
    <w:p>
      <w:pPr>
        <w:jc w:val="center"/>
      </w:pPr>
      <w:r>
        <w:rPr>
          <w:i/>
          <w:color w:val="665A75"/>
          <w:sz w:val="18"/>
        </w:rPr>
        <w:t>A practical new-bird isolation and observation checklist for hobby aviaries.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0656"/>
      </w:tblGrid>
      <w:tr>
        <w:tc>
          <w:tcPr>
            <w:tcW w:type="dxa" w:w="106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Quarantine helps protect the whole aviary. Seek avian veterinary advice if a bird shows illness, weight loss or abnormal droppings.</w:t>
            </w:r>
          </w:p>
        </w:tc>
      </w:tr>
    </w:tbl>
    <w:p/>
    <w:p>
      <w:r>
        <w:rPr>
          <w:b/>
          <w:color w:val="5D3B8E"/>
          <w:sz w:val="24"/>
        </w:rPr>
        <w:t>New Bird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Bird ID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Arrival Date</w:t>
            </w:r>
          </w:p>
        </w:tc>
        <w:tc>
          <w:tcPr>
            <w:tcW w:type="dxa" w:w="2664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Quarantine End Date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Visual Mutation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Sex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Age / Hatch Year</w:t>
            </w:r>
          </w:p>
        </w:tc>
        <w:tc>
          <w:tcPr>
            <w:tcW w:type="dxa" w:w="2664"/>
            <w:vAlign w:val="center"/>
            <w:shd w:fill="EEE7F8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Initial Condition</w:t>
            </w:r>
          </w:p>
        </w:tc>
      </w:tr>
      <w:tr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664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Daily Observation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1776"/>
        <w:gridCol w:w="1776"/>
        <w:gridCol w:w="1776"/>
        <w:gridCol w:w="1776"/>
        <w:gridCol w:w="1776"/>
        <w:gridCol w:w="1776"/>
      </w:tblGrid>
      <w:tr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Date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Eating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Droppings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Breathing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Activity</w:t>
            </w:r>
          </w:p>
        </w:tc>
        <w:tc>
          <w:tcPr>
            <w:tcW w:type="dxa" w:w="1776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1776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Quarantine Steps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3552"/>
        <w:gridCol w:w="3552"/>
        <w:gridCol w:w="3552"/>
      </w:tblGrid>
      <w:tr>
        <w:tc>
          <w:tcPr>
            <w:tcW w:type="dxa" w:w="3552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Step</w:t>
            </w:r>
          </w:p>
        </w:tc>
        <w:tc>
          <w:tcPr>
            <w:tcW w:type="dxa" w:w="3552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Done</w:t>
            </w:r>
          </w:p>
        </w:tc>
        <w:tc>
          <w:tcPr>
            <w:tcW w:type="dxa" w:w="3552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Separate cage away from main aviary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Separate food/water containers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Handle quarantine birds last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Wash hands / change tools between areas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Monitor weight and droppings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No shared baths, seed cups or perches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Minimum quarantine period completed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Healthy before moving near main birds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3552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Final Decision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checklist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